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396BEC8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Pr="00051DF2">
        <w:rPr>
          <w:sz w:val="24"/>
          <w:szCs w:val="24"/>
          <w:lang w:val="en-GB"/>
        </w:rPr>
        <w:t>VIYa</w:t>
      </w:r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>2218</w:t>
      </w:r>
      <w:r w:rsidR="00C23E4A">
        <w:rPr>
          <w:sz w:val="24"/>
          <w:szCs w:val="24"/>
        </w:rPr>
        <w:t>5</w:t>
      </w:r>
      <w:r w:rsidRPr="002F2E01">
        <w:rPr>
          <w:sz w:val="24"/>
          <w:szCs w:val="24"/>
        </w:rPr>
        <w:t xml:space="preserve"> </w:t>
      </w:r>
    </w:p>
    <w:p w14:paraId="3671DDE2" w14:textId="3A2116F0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C23E4A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1FBEBFB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C23E4A">
        <w:rPr>
          <w:sz w:val="24"/>
          <w:szCs w:val="24"/>
          <w:lang w:val="kk-KZ"/>
        </w:rPr>
        <w:t>4</w:t>
      </w:r>
    </w:p>
    <w:p w14:paraId="318F7B08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>Количество кредитов – 5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1B5E741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C23E4A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2023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>Die ersten Kontakte.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>Bekanntschaft.  Biographie. Beruf.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r w:rsidRPr="00E51D44">
        <w:rPr>
          <w:lang w:val="de-DE"/>
        </w:rPr>
        <w:t xml:space="preserve">Модуль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1. Themen aktuell A1-2. Max Hueber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2. Шелингер В.В. Сборник упражнений по грамматике немецкого языка. «Юрайт»Москва,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3. Б.М. Завъялова. Практический курс немецкого языка. «Юрайт»Москва,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>1. В.С. Попов. 222 правила современного немецкого языка. Гум</w:t>
      </w:r>
      <w:r w:rsidRPr="00BD394E">
        <w:t xml:space="preserve">. </w:t>
      </w:r>
      <w:r w:rsidRPr="00E51D44">
        <w:t>Изд</w:t>
      </w:r>
      <w:r w:rsidRPr="00BD394E">
        <w:t xml:space="preserve">. </w:t>
      </w:r>
      <w:r w:rsidRPr="00E51D44">
        <w:t>Центр</w:t>
      </w:r>
      <w:r w:rsidRPr="00E51D44">
        <w:rPr>
          <w:lang w:val="de-DE"/>
        </w:rPr>
        <w:t xml:space="preserve"> « </w:t>
      </w:r>
      <w:r w:rsidRPr="00E51D44">
        <w:t>Владос</w:t>
      </w:r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r w:rsidRPr="00E51D44">
        <w:t>Мойсейчук</w:t>
      </w:r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Reverso Context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Мультитран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Онлайн интеллект-карты </w:t>
      </w:r>
      <w:r w:rsidRPr="00E51D44">
        <w:rPr>
          <w:rFonts w:eastAsia="Songti SC"/>
          <w:kern w:val="2"/>
          <w:lang w:eastAsia="zh-CN" w:bidi="hi-IN"/>
        </w:rPr>
        <w:t xml:space="preserve"> //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r w:rsidRPr="00E51D44">
        <w:t>Лингвариум</w:t>
      </w:r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3CB4DD1F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785395">
        <w:t>письмен</w:t>
      </w:r>
      <w:r w:rsidR="005E20A7">
        <w:t>ный</w:t>
      </w:r>
      <w:r w:rsidR="00A66553" w:rsidRPr="006D1513">
        <w:t xml:space="preserve"> </w:t>
      </w:r>
      <w:r w:rsidR="00A66553" w:rsidRPr="006D1513">
        <w:rPr>
          <w:lang w:val="en-US"/>
        </w:rPr>
        <w:t>o</w:t>
      </w:r>
      <w:r w:rsidR="00785395">
        <w:rPr>
          <w:lang w:val="en-US"/>
        </w:rPr>
        <w:t>ff</w:t>
      </w:r>
      <w:r w:rsidR="00A66553" w:rsidRPr="006D1513">
        <w:rPr>
          <w:lang w:val="en-US"/>
        </w:rPr>
        <w:t>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DD61EB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49645763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 xml:space="preserve">Второй иностранный язык (уровень </w:t>
      </w:r>
      <w:r w:rsidR="00BD394E">
        <w:rPr>
          <w:b/>
          <w:sz w:val="20"/>
          <w:szCs w:val="20"/>
          <w:lang w:val="kk-KZ"/>
        </w:rPr>
        <w:t>В</w:t>
      </w:r>
      <w:r w:rsidR="004A76A2" w:rsidRPr="004A76A2">
        <w:rPr>
          <w:b/>
          <w:sz w:val="20"/>
          <w:szCs w:val="20"/>
        </w:rPr>
        <w:t>1)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DD61E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5E20A7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85395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D3C3B"/>
    <w:rsid w:val="00AE2C25"/>
    <w:rsid w:val="00AE4004"/>
    <w:rsid w:val="00AE7E8F"/>
    <w:rsid w:val="00B161BE"/>
    <w:rsid w:val="00B468CE"/>
    <w:rsid w:val="00B84350"/>
    <w:rsid w:val="00BA1831"/>
    <w:rsid w:val="00BA3630"/>
    <w:rsid w:val="00BD394E"/>
    <w:rsid w:val="00BE6E28"/>
    <w:rsid w:val="00BF6E1A"/>
    <w:rsid w:val="00C04CDD"/>
    <w:rsid w:val="00C22D65"/>
    <w:rsid w:val="00C23E4A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D61EB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4</cp:revision>
  <dcterms:created xsi:type="dcterms:W3CDTF">2024-01-03T10:49:00Z</dcterms:created>
  <dcterms:modified xsi:type="dcterms:W3CDTF">2024-01-09T10:48:00Z</dcterms:modified>
</cp:coreProperties>
</file>